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10.12.2021 обратился в Верховный Суд Российской Федерации с жалобой на определение судьи Верховного Суда Российской Федерации от 11.11.2021 № 309-ЭС21-20967, решение Арбитражного суда Челябинской области от 08.02.2021, постановление Восемнадцатого арбитражного апелляционного суда от 21.04.2021 и постановление Арбитражного суда Уральского округа от 21.07.2021 по делу № А76-35397/2020,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«Вторая генерирующая компания оптового рынка электроэнергии» о восстановлении пропущенного процессуального срока отказать. Жалобу возвратить заявителю. Судья Верховного Суда Российской Федерации М.К.Антонова Суд: Верховный Суд РФ (подробнее) Истцы: ПАО "Вторая генерирующая компания оптового рынка электроэнергии" (подробнее) ПАО "ОГК-2" (подробнее) Ответчики: Нижне-Обское бассейновое водное управление Федерального агентства водных ресурсов (подробнее) УПРАВЛЕНИЕ ФЕДЕРАЛЬНОЙ СЛУЖБЫ ПО НАДЗОРУ В СФЕРЕ ПРИРОДОПОЛЬЗОВАНИЯ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