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ФИО1 обратилась в суд с возражениями на отказ конкурсного управляющего должником ФИО2 во включении её требований в реестр требований о передаче жилых помещений – однокомнатных квартир в строящемся многоквартирном доме № 1 в &lt;...&gt; общей площадью квартиры 27,63 кв. м, расположенной на 9 этаже; № 128 общей площадью квартиры 30,11 кв. м, расположенной на 11 этаже, № 169 общей площадью квартиры 41,06 кв. м, расположенной на 14 этаже, № 202 общей площадью квартиры 30,27 кв. м, расположенной на 17 этаже, № 221 общей площадью квартиры 41,06 кв. м, расположенной на 18 этаже (далее – квартиры). Определением Арбитражного суда Новосибирской области от 20.08.2019, оставленным без изменения постановлениями Седьмого арбитражного апелляционного суда от 11.10.2019 и Арбитражного суда Западно-Сибирского округа от 20.01.2020, в удовлетворении заявления отказано. В кассационной жалобе, поданной в Верховный Суд Российской Федерации, заявитель просит отменить указанные судебные акты.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71, 100, 201.1, 201.6 Федерального закона от 26.10.2002 № 127-ФЗ «О несостоятельности (банкротстве)», пунктом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пришли к выводу об обоснованности отклонения конкурсным управляющим требований заявителя по мотивам недоказанности ею исполнения обязательств перед должником по оплате квартир, а также наличия финансовой возможности внесения соответствующей суммы денежных средств в кассу должника.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Ответчики: ООО "АвангардСтрой" (подробнее) Иные лица: Артемьев А.В. Артемьева Е.В. (подробнее) АССОЦИАЦИЯ АРБИТРАЖНЫХ УПРАВЛЯЮЩИХ "СИБИРСКИЙ ЦЕНТР ЭКСПЕРТОВ АНТИКРИЗИСНОГО УПРАВЛЕНИЯ" (подробнее) ООО "ВЫБОРИНВЕСТ-6" (подробнее) ООО ТД "Химметал" (подробнее) Руководителю СИЗО-1 ГУФСИН Росии по Новосибирской области (для подсудимого Коновалова А.В.) (подробнее) Судьи дела: Корнелюк Е.С. (судья) (подробнее) Последние документы по делу: Определение от 21 сентября 2021 г. по делу № А45-20433/2018 Определение от 19 октября 2020 г. по делу № А45-20433/2018 Определение от 6 октября 2020 г. по делу № А45-20433/2018 Определение от 20 мая 2020 г. по делу № А45-20433/2018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