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Дяглюк Виктор Дмитриевич обратился в Арбитражный суд Смоленской области с иском к обществу с ограниченной ответственностью частное охранное предприятие «Гефест» (далее – Общество) о взыскании 3 000 000 рублей действительной стоимости доли в уставном капитале ответчика. Решением Арбитражного суда Смоленской области от 30.12.2020, оставленным без изменения постановлением Двадцатого арбитражного апелляционного суда от 14.04.2021 и постановлением Арбитражного суда Центрального округа от 13.08.2021,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что суды при вынесении обжалуемых актов не учли, что истец произвел расчет действительной стоимости доли Общества не на основании действующего баланса за 2019 год, так как был представлен уточненный баланс.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Дяглюк В.Д. (ранее участник с долей в размере 50% уставного капитала) 13.04.2020 уведомил ответчика о выходе из состава участников Общества путем личного вручения нотариально удостоверенного заявления. Ссылаясь на возникновение у ответчика обязанности по выплате действительной стоимости доли в уставном капитале Общества и его уклонение от выполнения указанной обязанности, истец обратился в арбитражный суд с соответствующими требованиями. Исследовав, оценив по правилам статьи 71 АПК РФ представленные доказательства, руководствуясь статьей 94 Гражданского кодекса Российской Федерации, статьями 23, 26 Федерального закона от 08.02.1998 № 14-ФЗ «Об обществах с ограниченной ответственностью», разъяснениями, изложенные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суды удовлетворили заявленные требования, установив, что у Общества в связи с выходом Дяглюка В.Д. из состава его участников возникла неисполненная надлежащим образом обязанность по выплате действительной стоимости доли, размер которой определен на основании бухгалтерского баланса, признанного надлежащим доказательством по делу. Судебными инстанциями учтено, что в суде первой инстанции от ответчика поступило ходатайство о назначении судебной экспертизы в связи с несогласием с расчетом истца; Обществом было заявлено о готовности оплаты услуг эксперта. Однако, денежные средства в установленный срок, а также до судебного заседания после объявленного перерыва, внесены не были, что влечет для заявителя негативные последствия (статья 9 АПК РФ). Представленный ответчиком, уточненный бухгалтерский баланс Общества за 2019 год (с корректировками), правомерно не принят судами во внимание, поскольку был составлен после обращения истца в суд и не был сдан в налоговый орган.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3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частного охранного предприятия «Гефест»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