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16.03.2021, оставленным без изменения постановлениями Девятого арбитражного апелляционного суда от 11.06.2021 и Арбитражного суда Московского округа от 06.09.2021, в удовлетворении заявления отказано. В кассационной жалобе общество ставит вопрос об отмене принятых по делу судебных актов, ссылаясь на существенное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02.10.2018 № 027720963, выданного Арбитражным судом города Москвы, возбуждено исполнительное производство от 30.06.2020 № 44315/20/7706-ИП в отношении общества (должник). Судебным приставом-исполнителем вынесено постановление от 02.07.2020 № 77006/20/184087 о запрете на регистрационные действия в отношении транспортных средств. Постановлением заместителя начальника отдела жалоба общества, поданная в порядке подчиненности на постановление судебного пристава-исполнителя о запрете на регистрационные действия в отношении транспортных средств, оставлена без удовлетворения. Указывая на незаконность данных постановлений,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198, 200, 201, 329 Арбитражного процессуального кодекса Российской Федерации, Федерального закона от 02.10.2007 № 229-ФЗ «Об исполнительном производстве», Федерального закона от 21.07.1997 № 118-ФЗ «Об органах принудительного исполнения Российской Федерации», суды пришли к выводу об отсутствии правовых оснований для удовлетворения заявленных требований, не установив факта нарушения прав и законных интересов заявителя. Судебные инстанции исходили из того, что судебным приставом–исполнителем совершены исполнительные действия в виде наложения запрета совершать регистрационные действия в отношении транспортных средств, которые не являются мерами принудительного исполнения, а относятся к числу иных мер, обеспечивающих исполнение исполнительного документа. При этом суды указали, что меры по запрещению производить определенные действия по своей правовой природе не являются арестом 3 имущества, и должностные лица службы судебных приставов действовали в соответствии с нормами законодательства об исполнительном производстве.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Иное толкование заявителем действующего законодательства, а также иная оценка обстоятельств спора не свидетельствуют о неправильном применении судами норм права, в связи с чем доводы общества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«Газпром 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