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«Фортуна» обратилось в Арбитражный суд города Москвы с иском о взыскании с акционерного общества «ИМП-Логистика» 5 894 988 рублей основного долга и 247 244 рублей 45 копеек неустойки по договору транспортной экспедиции от 17.08.2017 № 01-2017. АО «ИМП-Логистика» обратилось в суд с встречным иском, уточненным в порядке статьи 49 Арбитражного процессуального кодекса Российской Федерации, о взыскании с ООО «Фортуна» 7 729 113 рублей 24 копеек убытков. К участию в деле в качестве третьего лица, не заявляющего самостоятельных требований относительно предмета спора, привлечена Межрайонная инспекция Федеральной налоговой службы № 22 по Московской области. Решением Арбитражного суда города Москвы от 24.02.2021 первоначальный иск удовлетворен, в удовлетворении встречного иска отказано. 2 Постановлением Девятого арбитражного апелляционного суда от 08.06.2021 решение суда первой инстанции оставлено без изменения. Арбитражный суд Московского округа постановлением от 02.09.2021 указанные судебные акты оставил без изменения. Акционерное общество «ИМП-Логистика»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надлежащее оказание транспортных услуг обществом «Фортуна» и отсутствие доказательств их оплаты обществом «ИМП-Логистика», руководствуясь положениями статей 309, 310, 330, 779, 781, 801 Гражданского кодекса Российской Федерации, статьей 5 Федерального закона от 30.06.2003 № 87-ФЗ «О транспортно-экспедиционной деятельности», суды пришли к выводу о наличии оснований для удовлетворения первоначального иска. Отказывая в удовлетворении встречного иска, суды руководствовались положениями статей 15, 393 Гражданского кодекса Российской Федерации, разъяснениями, данными в пункте 12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и исходили из недоказанности наличия совокупности обстоятельств, свидетельствующих о возможности привлечения к ответственности в виде возмещения убытков, установив, что добровольно перечисленные денежные средства в качестве доплаты в бюджет налога и пени в отношении сумм налога на добавленную стоимость по сделкам с 3 ООО «Фортуна», уже принятых к вычету, а также не предъявленный к вычету НДС, нельзя квалифицировать в качестве убытков и требовать их взыскания с ООО «Фортуна».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судами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«ИМП-Логистика»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