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заявители 08.12.2021 обратились в Верховный Суд Российской Федерации с жалобой на определение судьи Верховного Суда Российской Федерации от 30.11.2021 № 307-ЭС19-14658 (21,22,23), определение Арбитражного суда Тверской области от 29.01.2021, постановление Четырнадцатого арбитражного апелляционного суда от 19.04.2021 и постановление Арбитражного суда Северо-Западного округа от 02.08.2021 по делу № А66-89/2018 о несостоятельности (банкротстве) общества с ограниченной ответственностью «Верхневолжская топливно-энергетическая компания», заявив при этом ходатайство о восстановлении пропущенного процессуального срока. 2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 (с 30.09.2021 по 30.11.2021). В данном случае этот срок истек 02.12.2021. Причины пропуска рассматриваемого срока, приведенные заявителями,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заявителям.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Новожиловой Марины Ремовны, Батариной (Марченко) Натальи Александровны, Карабановой Натальи Алексеевны, Мязиной Ольги Борисовны, Веселовой Марины Васильевны о восстановлении пропущенного процессуального срока отказать. Жалобу возвратить заявителям. Судья Г.Г. Кирейкова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