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«Технология» (далее – общество) обратилось в суд с заявлением о включении в реестр требований кредиторов должника (далее – реестр) требований в размере 16 969 009 рублей 53 копеек. Определением Арбитражного суда Нижегородской области от 23.01.2019, оставленным без изменения постановлениями Первого арбитражного апелляционного суда от 18.05.2021 и Арбитражного суда Волго-Вятского округа от 25.08.2021,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 , 395 , 458 , 486 , 506 , 516 Гражданского кодекса Российской Федерации, статьями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того, что на дату образования задолженности должник не находился в состоянии имущественного кризиса, в связи с чем не установили оснований для понижения очерёдности удовлетворения требований общества, включив их в третью очередь реестра.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ООО "Астория Групп" (подробнее) Иные лица: В/у. Салтыков Р.В. (подробнее) ООО МегаТорг (подробнее) ОП №2 УМВД России по г.Н.Новгороду (подробнее) СРО АУ Меркурий (подробнее) Управление Росреестра (подробнее) уфссп по но (подробнее) Судьи дела: Корнелюк Е.С. (судья) (подробнее) Судебная практика по: Злоупотребление правом Судебная практика по применению нормы ст. 10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