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компания обратилась в суд с заявлением о включении в реестр требований кредиторов должника (далее – реестр) требования в размере 800 118 рублей. Определением Арбитражного суда города Москвы от 20.02.2021 заявление удовлетворено. Постановлением Девятого арбитражного апелляционного суда от 26.04.2021, оставленным без изменения постановлением Арбитражного суда Московского округа от 18.08.2021, данное определение изменено, требование компании признано подлежащим удовлетворению в очерёдности, предшествующей распределению ликвидационной квоты.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руководствуясь статьями 2, 19, 71, 100, 142 Федерального закона от 26.10.2002 № 127-ФЗ «О несостоятельности (банкротстве)», Обзором судебной практики разрешения споров, связанных с установлением в процедурах банкротства требований контролирующих должника и аффилированных с ним лиц, утвержденного Президиумом Верховного Суда Российской Федерации от 29.01.2020, установив, что представленная должнику аффилированной компанией отсрочка исполнения по договору поставки являлась компенсационным финансированием в период имущественного кризиса, признали её требование подлежащим удовлетворению в очерёдности, предшествующей распределению ликвидационной квоты. Выводы судов апелляционной инстанции и округа соответствуют нормам права, оснований для переоценки выводов судов по доводам жалобы не имеется. Существенных нарушений норм материального и (или)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компании АРД Импекс АГ (ARD Impex AG)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