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03.02.2021, оставленным без изменения постановлением Второго арбитражного апелляционного суда от 15.04.2021, в удовлетворении требования отказано. Постановлением Арбитражного суда Волго-Вятского округа от 16.08.2021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 нарушении обществом требований технического регламента при выполнении работ по текущему ремонту и содержанию участка автомобильной дороги общего пользования. Частью 1 статьи 14.43 Кодекса Российской Федерации об административных правонарушениях установлена ответственность за нарушение изготовителем, исполнителем (лицом, выполняющим функции иностранного изготовителя),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 либо выпуск в обращение продукции, не соответствующей таким требованиям, за исключением случаев, предусмотренных статьями 6.31, 9.4, 10.3, 10.6, 10.8, частью 2 статьи 11.21, статьями 14.37, 14.44, 14.46, 14.46.1, 20.4 настоящего Кодекса. 3 Оценив представленные доказательства, руководствуясь положениями Технического регламента Таможенного союза ТР ТС 014/2011 «Безопасность автомобильных дорог», Федерального закона от 10.12.1995 № 196-ФЗ «О безопасности дорожного движения», суды пришли к выводу о наличии в действиях общества состава правонарушения, ответственность за совершение которого предусмотрена частью 1 статьи 14.43 Кодекса Российской Федерации об административных правонарушениях, признав, что общество как организация, на которую на основании государственного контракта возложена обязанность по содержанию автомобильной дороги, является лицом, ответственным за содержание и контроль за состоянием автомобильной дороги. Судами установлено, что процедура и срок давности привлечения к административной ответственности соблюдены. Поводом к возбуждению дела об административном правонарушении послужило непосредственное обнаружение уполномоченным должностным лицом достаточных данных, указывающих на наличие признаков правонарушения. Штраф назначен в минимальном размере санкции нормы. Доводы жалобы были предметом исследования судов и получили исчерпывающую правовую оценку, не согласиться с которой по доводам жалобы оснований не имеется. Суды признали, что общество было надлежащим образом извещено обо всех процессуальных действиях в рамках дела об административном правонарушении. При этом вопреки доводам жалобы общество было уведомлено о составлении 02.10.2020 протокола об административной правонарушении и рассмотрении 05.10.2020 материалов дела об административном правонарушении, получив извещение 24.09.2020. Зная о дате составления протокола и рассмотрении материалов дела, общество, между тем, не воспользовалось предоставленными ему правами, в том числе, на заявление ходатайства об отложении рассмотрения материалов дела. Указанные обстоятельства в жалобе не опровергнуты. 4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