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Южно- Сибирское межрегиональное управление государственного автодорожного надзора. Решением Арбитражного суда Алтайского края от 04.03.2021 в иске отказано. 2 Постановлением Седьмого арбитражного апелляционного суда от 24.05.2021 решение суда первой инстанции отменено, иск удовлетворен. Постановлением Арбитражного суда Западно-Сибирского округа от 25.08.2021 постановление суда апелляционной инстанции оставлено без изменения. В кассационной жалобе, поступившей в Верховный Суд Российской Федерации, третье лицо просит отменить принятые по делу судебные акты, считая их незаконными и необоснованными, в иске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15, 16, 1069 Гражданского кодекса Российской Федерации, суд апелляционной инстанции отменил решение суда первой инстанции, иск удовлетворил, признав, что расходы предпринимателя на оплату юридических услуг относятся к реальному ущербу и возмещаются в составе убытков по требованию лица, право которого нарушено. Ссылка на то, что действия третьего лица (административного органа) в рамках дела об административном правонарушении не могут быть квалифицированы как влекущие взыскание убытков, противоречат правовой 3 позиции, изложенной в Постановлении Конституционного Суда Российской Федерации от 15.07.2020 № 36-П.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