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11.01.2021, оставленным без изменения постановлением Тринадцатого арбитражного апелляционного суда от 15.04.2021, первоначальный иск удовлетворен, в удовлетворении встречного иска отказано. Постановлением Арбитражного суда Северо-Западного округа от 12.08.2021 названные судебные акты оставлены без изменения. В кассационной жалобе, поступившей в Верховный Суд Российской Федерации, департамент просит отменить указанные судебные акты,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статьями 309, 310, 401, 451, 718, 763 Гражданского кодекса Российской Федерации, статьей 93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3 первоначальный иск, в удовлетворении встречного иска отказали, в отсутствие доказательств, свидетельствующих о наличии вины общества в неисполнении контракта в полном объеме. Приведенные в жалобе доводы были предметом исследования судов и получили исчерпывающую правовую оценку исходя из установленной судами совокупность условий для расторжения контракта по мотивам общества. Оснований для отмены судебных актов по правилам частей 3, 4 статьи 270, частей 3, 4 статьи 288 Арбитражного процессуального кодекса Российской Федерации по доводам жалобы не установлено. Несогласие заявителя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