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15.04.2021, оставленным без изменения постановлением Восьмого арбитражного апелляционного суда от 22.06.2021 и постановлением Арбитражного суда Западно-Сибирского округа от 15.09.2021, заявление удовлетворено. В кассационной жалобе общество «Альфаинвест» просит об отмене судебных актов, ссылаясь на непринадлежность должнику предмета залога и отсутствие его в натуре.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проверили обоснованность заявленного требования применительно к статьям 71, 100, 138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признали его соответствующим критериям для включения в реестр. Общество «Альфаинвест» не указало, в чем выражено нарушение его прав установленной очередностью требования в реестре должника, учитывая непредъявление обществу Красковой О.В. требования из заключенного между ними договора залога от 04.08.2017.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