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Пятнадцатого арбитражного апелляционного суда от 17.08.2021, оставленным без изменения постановлением Арбитражного суда Северо-Кавказского округа от 08.10.2021, в восстановлении срока на обжалование судебных актов отказано, производство по апелляционной жалобе прекращено. В кассационных жалобах заявители просят о пересмотре судебных актов апелляционного и окружного судов, ссылаясь на игнорирование обоснованности пропуска срока.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 не усматривается. Руководствуясь статьями 117, 150, 223, 259, 264 Арбитражного процессуального кодекса Российской Федерации, пунктом 35.1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апелляционный суд установил, что срок на обжалование восстановлению не подлежит в связи с подачей ходатайства о его восстановлении с нарушением предельного срока, пропущенного без объективных причин. Требуемое заявителями изменение оценки причин пропуска сроков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Платонову Андрею Евгеньевичу и Платоновой Веронике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