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Принимая во внимание обстоятельства пропуска срока на подачу кассационной жалобы, судья находит подлежащим удовлетворению заявленное ФИО1 ходатайство.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финансового управляющего ФИО1 удовлетворить. Срок подачи кассационной жалобы восстановить.Судья Самуйлов С.В. Суд: Верховный Суд РФ (подробнее) Истцы: ООО "Строительно-финансовая компания Сургутгазстрой", г.Сургут (подробнее) Ответчики: ИП Эрель Динчер, г.Казань (подробнее) Иные лица: к/у Смирнов Алексей Евгеньевич (подробнее) Одинадцатый Арбитражный Апелляционный суд (подробнее) ООО "СТРОИТЕЛЬНО-МОНТАЖНОЕ УПРАВЛЕНИЕ "СТРОЙПРОМ" (подробнее) ООО "Эрель Газстрой" (подробнее) ООО "Эрель Газстрой" в лице к/у Смирнова Алексея Евгеньевича (подробнее) ПАО Уральский банк "Сбербанк" (подробнее) Ф\у Баширова Геннадия Ивановича (подробнее) Ф/у Баширов Геннадий Иванович (подробнее) ф/у Баширов Г.И. (подробнее) Судьи дела: Самуйлов С.В.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