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«Энергосервис» обратилось в Арбитражный суд Рязанской области с иском о взыскании с общества с ограниченной ответственностью «Сан Тревл» 553 850 рублей неосновательного обогащения и 17 931 рубля 62 копеек процентов за пользование чужими денежными средствами, начисленных за период с 11.10.2019 по 15.04.2020. К участию в деле в качестве третьего лица, не заявляющего самостоятельных требований относительно предмета спора, привлечена Гурова Нина Васильевна. Решением Арбитражного суда Рязанской области от 20.02.2021 в удовлетворении иска отказано. Постановлением Двадцатого арбитражного апелляционного суда от 30.04.2021 решение суда первой инстанции оставлено без изменения. Арбитражный суд Центрального округа постановлением от 19.08.2021 указанные судебные акты оставил без изменения. 2 Общество с ограниченной ответственностью «Энергосервис»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779, 781, 1102, 1105 Гражданского кодекса Российской Федерации, суды пришли к выводу о наличии между сторонами обязательств по договору оказания услуг от 25.02.2016 № 25/02-2016, что исключает наличие на стороне ответчика неосновательного обогащения. С учетом установленных судами фактических обстоятельств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