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«Ортум-Мед» обратилось в Арбитражный суд Удмуртской Республики с иском о взыскании с индивидуального предпринимателя Копысова Дмитрия Викторовича 1 880 000 рублей неосновательного обогащения и 33 927 рублей процентов за пользование чужими денежными средствами. Решением Арбитражного суда Удмуртской Республики от 26.01.2021 иск удовлетворен. Постановлением Семнадцатого арбитражного апелляционного суда от 23.04.2021 решение суда первой инстанции оставлено без изменения. Арбитражный суд Уральского округа постановлением от 18.08.2021 указанные судебные акты оставил без изменения. Индивидуальный предприниматель Копысов Дмитрий Викторович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перечисления истцом денежных средств ответчику, отсутствие доказательств, свидетельствующих о наличии встречного предоставления со стороны предпринимателя, квалифицировав полученные ответчиком денежные средства в качестве неосновательного обогащения согласно статье 1102 Гражданского кодекса Российской Федерации, суды удовлетворили иск. Доводы, изложенные заявителем в кассационной жалобе,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Копысову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