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декабря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акционерное общество «Опытный завод «Микрон» обратилось в Арбитражный суд Псковской области с иском о взыскании с индивидуального предпринимателя Куриловой Елены Викторовны 1 210 617 рублей 10 копеек ущерба, причиненного в результате утраты груза при исполнении договора на оказание транспортных услуг от 27.06.2016 № 74-09/03-2016. Курилова Е.В. обратилась с встречным иском к АО «ОЗ «Микрон» о взыскании 101 257 рублей 40 копеек задолженности по договору на оказание транспортных услуг от 27.06.2016 № 74-09/03-2016. К участию в деле в качестве третьих лиц, не заявляющих самостоятельных требований относительно предмета спора, привлечены Игнатов Анатолий Евгеньевич, общество с ограниченной ответственностью «Стальтехно». Решением Арбитражного суда Псковской области от 10.03.2021 первоначальный иск удовлетворен, в удовлетворении встречного иска отказано. Постановлением Четырнадцатого арбитражного апелляционного суда от 27.05.2021 решение суда первой инстанции оставлено без изменения. Арбитражный суд Северо-Западного округа постановлением от 16.09.2021 указанные судебные акты отменил в части удовлетворения первоначального 2 иска и в удовлетворении требования общества отказал; в остальной части принятые по делу судебные акты оставил без изменения. Акционерное общество «Опытный завод «Микрон» обратилось в Судебную коллегию по экономическим спорам Верховного Суда Российской Федерации с кассационной жалобой на постановление окружного суда,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обжалуемого судебного акта в кассационном порядке по доводам жалобы, изученным по материалам, приложенным к ней, не установлено. Разрешая спор в части требования по первоначальному иску, окружной суд руководствовался положениями статей 785, 796 Гражданского кодекса Российской Федерации, статьями 8, 34 Федерального закона от 08.11.2007 № 259-ФЗ «Устав автомобильного транспорта и городского наземного электрического транспорта», Правилами перевозок грузов автомобильным транспортом, утвержденными постановлением Правительства Российской Федерации от 15.04.2011 № 272, и исходил из отсутствия доказательств принятия предпринимателем груза к перевозке. Несогласие заявителя кассационной жалобы с установленными обстоятельствами дела не свидетельствует о неправильном применении судом норм материального и процессуального права, не подтверждает существенных нарушений норм материального права и норм процессуального права, повлиявших на исход дела, и не является достаточным основанием для пересмотра судебного акта в кассационном порядке. По существу доводы жалобы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3 Руководствуясь статьями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«Опытный завод «Микрон»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