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25.03.2021 процедура реализации имущества гражданина Цапенко Владимира Андреевича завершена, должник освобожден от дальнейшего исполнения требований кредиторов, в том числе не заявленных при введении реструктуризации долгов гражданина или реализации его имущества. Постановлением Девятого арбитражного апелляционного суда от 30.06.2021 определение суда первой инстанции оставлено без изменения. Арбитражный суд Московского округа постановлением от 24.09.2021 указанные судебные акты оставил без изменения. Общество с ограниченной ответственностью «Парадокс Пропертиз» обратилось в Судебную коллегию Верховного Суда Российской Федерации с кассационной жалобой на принятые судебные акты в части применения правил об освобождении должника от исполнения обязательств перед кредиторами,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пришли к выводу о применении к должнику правил об освобождении от дальнейшего исполнения требований кредиторов, в том числе требований кредиторов, не заявленных при введении реализации имущества гражданина, в связи с отсутствием достаточных доказательств, подтверждающих недобросовестность поведения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«Парадокс Пропертиз»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