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24.05.2021, оставленным без изменения постановлениями Пятнадцатого арбитражного апелляционного суда от 23.07.2021 и Арбитражного суда Северо-Кавказского округа от 08.10.2021, в удовлетворении иска отказано. В кассационной жалобе, поданной в Верховный Суд Российской Федерации, учреждение ставит вопрос об отмене принятых по делу судебных 2 актов, ссылаясь на существенное нарушение судами норм права, ненадлежащую оценку обстоятельств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и обществом (подрядчик) заключен муниципальный контракт на выполнение работ по строительству детского дошкольного учреждения. В обоснование иска учреждением указано на то, что подрядчик не выполнил работы, предусмотренные графиком, и не уплатил неустойку за нарушение промежуточных этапов выполнения работ. Оценив представленные в материалы дела доказательства, суды, руководствуясь положениями статей 309, 310, 311, 329, 330, 702, 740, 741, 753, 763 Гражданского кодекса Российской Федерации, с учетом правовой позиции, изложенной в пункте 18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принимая во внимание согласованный в контракте срок выполнения работ (пункт 3.1), пришли к выводу об отсутствии оснований для взыскания пеней, а также о возложении на подрядчика обязанности по выполнению работ в соответствии с графиком. Судебные инстанции исходили из того, что сторонами не согласованы этапы работ с описанием каждого из них, при этом выделение отдельных этапов работ обусловлено необходимостью осуществления оплаты согласно графику. Кроме того, суды отметили, что при заключении контракта воля заказчика была направлена на получение результата работ в виде оконченного 3 строительством объекта, а не на поэтапное получение в свое распоряжение результата отдельных видов работ. По существу доводы жалобы не свидетельствуют о существенных нарушениях норм материального и процессуального права, которые повлияли на исход дела, являлись предметом рассмотрения судов, выражают несогласие с выводами судов по фактическим обстоятельствам настоящего спора и основаны на ином толковании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«Управление капитального строительства города Ростова-на-Дону»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