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общества с ограниченной ответственностью «Промметиз» и «Стоун» (далее – общества) обратились в суд с заявлениями, объединённым в одно производство для совместного рассмотрения, о включении в реестр требований кредиторов должника (далее – реестр) требований в сумме 5 836 723 рубля 68 копеек и в сумме 11 755 178 рублей 44 копейки. Определением Арбитражного суда Орловской области от 24.11.2020, оставленным без изменения постановлениями Девятнадцатого арбитражного апелляционного суда от 11.02.2021 и Арбитражного суда Центрального округа от 16.08.2021, заявления удовлетворены.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требований обществ.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382, 384, 458, 488, 506 Гражданского кодекса Российской Федерации, статьями 71, 100, 142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исходили из того, что сложившиеся между сторонами правоотношения и заключенные между ними сделки являлись реальными, а на дату образования задолженности должник (покупатель) не находился в состоянии имущественного кризиса, в связи с чем не установили оснований для понижения очерёдности удовлетворения документально подтверждённых требований обществ поставщика и его правопреемника, включив их в третью очередь реестра. Выводы судов соответствуют нормам права, оснований для переоценки этих выводов не имеется. Существенных нарушений норм материального и (или) нории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Шишарину Роману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