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Центрального округа от 01.09.2021, оставленным без изменения определением того же суда от 08.10.2021, в удовлетворении ходатайства ответчика о восстановлении срока на подачу кассационной жалобы на решение Арбитражного суда Белгородской области от 15.12.2020 и постановление Девятнадцатого арбитражного апелляционного суда от 29.03.2021 отказано, жалоба возвращена. В кассационной жалобе Добродомов В.А. просит отменить судебные акты окружного суда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оценил приведенную ответчиком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Добродомову Валерию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