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30.09.2020 в удовлетворении заявления отказано. Десятый арбитражный апелляционный суд перешел к рассмотрению дела по правилам для суда первой инстанции и постановлением от 14.05.2021, оставленным без изменения постановлением Арбитражного суда Московского округа от 11.08.2021, определение от 30.09.2020 отменил, заявление удовлетворил. В кассационной жалобе Аносов Д.О. просит об отмене судебных актов апелляционного и окружного судов, ссылаясь на неисследованность иных, кроме формальных, условий, исключающих признание сделки недействительной.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безвозмездное отчуждение должником доли в недвижимом имуществе в пользу заинтересованного лица (сестры) при неисполненных перед кредиторами денежных обязательствах в качестве условий для признания сделки недействительной в силу пункта 2 статьи 61.2 Федерального закона от 26.10.2002 № 127-ФЗ «О несостоятельности (банкротстве)». Установление основания и размера требования кредитора, оспорившего сделку должника, к предмету настоящего обособленного спора не относится.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Аносову Д.О.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