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Мурманской области от 10.11.2020, оставленным без изменения постановлением Тринадцатого арбитражного апелляционного суда от 17.03.2021 и постановлением Арбитражного суда Северо-Западного округа от 12.08.2021, в удовлетворении заявления отказано. В кассационной жалобе банк просит об отмене судебных актов, ссылаясь на наличие оснований для признания платежей недействительными и неправильное исчисление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в вопросе исчисления срока исковой давности руководствовались пунктом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признав пропущенным годичный срок исковой давности для оспаривания сделки. Названное основание является самостоятельным для отказа в удовлетворении заявления и исключает обсуждение доводов жалобы, связанных с иными обстоятельствами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