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28.03.2021, оставленным без изменения постановлением Седьмого арбитражного апелляционного суда от 31.05.2021 и постановлением Арбитражного суда Западно-Сибирского округа от 13.08.2021, требование закрытого акционерного общества «Универсальная торговая площадка «Фактор» в размере 8 320 028 рублей 51 копейки включено в третью очередь реестра требований кредиторов должника. В кассационной жалобе общество «Инвест Плюс» просит об отмене судебных актов, ссылаясь на неправомерность включения в реестр убытков, возникших в связи с групповыми корпоративными обязательствами.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обстоятельств спора установив, что заявленные расходы понесены в связи с неправомерными действиями должника, признали их обоснованными для включения их в силу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статей 15, 393 Гражданского кодекса Российской Федерации в реестр должника. Доводы кассационной жалобы об ответственности должника за заявленные убытки, аффилированности с заявившим требование кредитором были предметом рассмотрения судов и получили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