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04.06.2021, оставленным без изменения постановлением Шестого арбитражного апелляционного суда от 28.07.2021 и постановлением Арбитражного суда Дальневосточного округа от 01.10.2021, в удовлетворении заявления отказано. В кассационной жалобе Белинский К.П. просит об отмене судебных актов как противоречащих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заем носил целевой характер, связанный с деятельностью крестьянско-фермерского хозяйства, членом которого супруг должника не является. Вывод судов о недоказанности расходования полученной от кредитора суммы на нужды семьи основан на установленных обстоятельствах рассматриваемого спора и соответствует статье 45 Семейного кодекса Российской Федерации, статьям 213.8, 213.19, 213.24, 213.26 Федерального закона от 26.10.2002 № 127-ФЗ «О несостоятельности (банкротстве)»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Белинскому К.П.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