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Московской области от 25.02.2021, оставленным без изменения постановлением Десятого арбитражного апелляционного суда от 28.04.2021 и постановлением Арбитражного суда Московского округа от 10.08.2021, заявление удовлетворено. В кассационной жалобе Боровиков В.В. просит об отмене судебных актов, ссылаясь на неправомерность удержания алиментов из суммы возмещения, полученного за изъятый для государственных нужд объект недвижимости.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20.3, 60, 213.27 Федерального закона от 26.10.2002 № 127-ФЗ «О несостоятельности (банкротстве)», статьями 80, 81, 82 Семейного кодекса Российской Федерации, обоснованно исходили из того, что финансовый управляющий при наличии в спорный период денежных средств на счете должника обязан был предпринять меры по перечислению денежных средств в определенных суммах на содержание несовершеннолетних детей должника, обеспечив защиту их прав и законных интересов. Возражения заявителя, касающиеся характера и размера дохода должника, из которого подлежат удержанию алименты, получили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Боровикову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