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определением Арбитражного суда города Москвы от 03.02.2021 в удовлетворении ходатайства отказано. Девятый арбитражный апелляционный суд постановлением от 12.05.2021 отменил определение от 03.02.2021, исключив из конкурсной массы должника 1/2 квартиры, расположенной по адресу: г.Москва, ул. Академика Анохина, д. 2, корп. 2, кв. 220 (кадастровый номер 77:07:0014005:1931). Арбитражный суд Московского округа постановлением от 10.08.2021 постановление апелляционного суда от 12.05.2021 оставил без изменения. В кассационной жалобе акционерное общество «Р-Холдинг» просит об отмене судебных актов апелляционного и окружного судов, ссылаясь на придание спорному жилому помещению статуса единственного пригодного для постоянного проживания должника и его семьи жилья в противоречие с интересами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принадлежащая должнику по суду 1/2 доли в спорной квартире является для него на момент рассмотрения ходатайства единственным пригодным для проживания жильем, вследствие чего на нее в силу статьи 446 Гражданского процессуального кодекса Российской Федерации и статьи 213.25 Федерального закона от 26.10.2002 № 127-ФЗ «О несостоятельности (банкротстве)» распространяется исполнительский иммунитет. Доводы кассационной жалобы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«Р-Холдинг»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