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05.04.2021, оставленным без изменения постановлением Девятого арбитражного апелляционного суда от 10.06.2021 и постановлением Арбитражного суда Московского округа от 13.08.2021, заявление удовлетворено. В кассационной жалобе Метельская Э.В. просит об отмене судебных актов, ссылаясь на самостоятельную переквалификацию судом апелляционной инстанции оснований заявления и лишение возможности представления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рассмотрели заявление применительно к основаниям (фактическим обстоятельствам), указанным финансовым управляющим в обоснование недействительности сделки, учитывая возражения заявителя. Подлежащие применению правовые нормы, в данном случае пункт 2 статьи 61.2 Федерального закона от 26.10.2002 № 127-ФЗ «О несостоятельности (банкротстве)», определил суд в соответствии с предоставленной компетенцией.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Метельской Эльдибитте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