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24.12.2020, оставленным без изменения постановлением Девятого арбитражного апелляционного суда от 24.03.2021 и постановлением Арбитражного суда Московского округа от 24.08.2021, заявление удовлетворено. В кассационной жалобе Липко А.Н. просит об отмене судебных актов, ссылаясь на непопадание сделок под подозрительные, учитывая непередачу по ним имущества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внесение должником денежных средств в спорной сумме на счет заинтересованного лица (супруги) в период возникновения существенных финансовых проблем у организаций, по обязательствам которых поручился должник,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Утверждение заявителя об отсутствии дарения противоречит установленным судами обстоятельствам обращения с денежными средствами.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Липко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