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05.05.2021, оставленным без изменения постановлением Девятого арбитражного апелляционного суда от 05.07.2021 и постановлением Арбитражного суда Московского округа от 23.09.2021, требование признано обоснованным и подлежащим включению в третью очередь реестра. В кассационной жалобе Кочергин А.С. просит отменить судебные акты, ссылаясь на невозникновение обязательства по возврату целевого жилищного займа ни в силу договора, ни в силу закона. Предусмотренных частью 1 статьи 291.11 Арбитражного процессуального кодекса Российской Федерации оснований для пересмотра судебных актов в кассационном порядке в связи с доводами жалобы не усматривается. Суды установив, что требование банка, обеспеченное залогом имущества, подтверждено и не удовлетворено должником, включили его в реестр в соответствии со статьями 71, 100 Федерального закона от 26.10.2002 № 127-ФЗ «О несостоятельности (банкротстве)». 2 Основанием возникновения обязанности должника по возврату полученных у банка денежных средств является кредитный договор, стороной в котором является должник.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Кочергину Александру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