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28.12.2020, оставленным без изменения постановлением Девятого арбитражного апелляционного суда от 08.06.2021 и постановлением Арбитражного суда Московского округа от 13.08.2021, заявление удовлетворено. В кассационной жалобе Федюк Б.А. просит об отмене судебных актов, ссылаясь на отсутствие условий для признания сделки недействительной по общим нормам гражданского законодательства, пропуск финансовым управляющим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К оспариванию в делах о банкротстве сделок применяются общие нормы гражданского законодательства об основаниях недействительности сделок и такие основания (статьи 10, 168 Гражданского кодекса Российской Федерации) установлены судами в рассматриваемом споре. При установленных обстоятельствах довод о неприменимости трехлетнего срока исковой давности неоснователен.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Федюку Борису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