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19.03.2021, оставленным без изменения постановлением Седьмого арбитражного апелляционного суда от 20.05.2021 и постановлением Арбитражного суда Западно-Сибирского округа от 09.08.2021, в удовлетворении заявления отказано. В кассационной жалобе ФИО1 просит об отмене судебных актов, ссылаясь на уменьшение конкурсной массы вследствие накопления долгов по коммунальным платежам и взносам на капитальный ремонт.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Согласно пунктам 1, 3 статьи 213.25 Федерального закона от 26.10.2002 № 127-ФЗ «О несостоятельности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исключенного из конкурсной массы, на которое не может быть обращено взыскания в соответствии с гражданским процессуальным законодательством. Судами установлено, что квартира, являющаяся общей долевой собственностью супругов ФИО2 и ФИО3, из конкурсной массы должника в рамках данного обособленного спора не исключалась, тогда как в деле о банкротстве супруга должника признана единственным пригодным для проживания жильем и исключена из конкурсной массы. Предоставление родственникам права пользования квартирой не повлияло на права должников в отношении нее. Довод о наличии неосновательного обогащения был рассмотрен и обоснованно отклонен судом округа как не свидетельствующий о недействительности оспариваемой сделки.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"Зернобанк" в лице к/управляющего Государственной корпорации "Агентство по страхованию вкладов" (подробнее) ИФНС России по Октябрьскому району г. Барнаула. (подробнее) ОТДЕЛ СУДЕБНЫХ ПРИСТАВОВ ОКТЯБРЬСКОГО РАЙОНА Г. БАРНАУЛА (подробнее) ПАО Банк ВТБ (подробнее) ПАО "Сбербанк России" Алтайское отделение №8644 (подробнее) Иные лица: АССОЦИАЦИЯ "НАЦИОНАЛЬНАЯ ОРГАНИЗАЦИЯ АРБИТРАЖНЫХ УПРАВЛЯЮЩИХ" (подробнее) МТУ Росимущество в АК (подробнее) НП Объединение арбитражных управляющих "Авангард" (подробнее) СОЮЗ "МЕЖРЕГИОНАЛЬНЫЙ ЦЕНТР АРБИТРАЖНЫХ УПРАВЛЯЮЩИХ" (подробнее) Управление Росреестра по АК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