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Хабаровского края от 07.03.2021, оставленным без изменения постановлением Первого арбитражного апелляционного суда от 07.07.2021 и постановлением Арбитражного суда Волго-Вятского округа от 28.09.2021, в удовлетворении заявления отказано. В кассационной жалобе Козлов В.Е. просит об отмене судебных актов, ссылаясь на игнорирование исходящего от большинства кредиторов требования об отстранении управляющего от исполнения обязанностей.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обладающие информацией о претензиях к деятельности финансового управляющего собрания кредиторов, установили несовершение управляющим действий влекущих в силу статей 20.3, 20.4, 83, 213.9 Федерального закона от 26.10.2002 № 127-ФЗ «О несостоятельности (банкротстве)» и их судебного толкования невозможность исполнения обязанностей в деле о банкротстве должника. Иная оценка должником действий финансового управляющего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