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10.03.2021, оставленным без изменения постановлением Десятого арбитражного апелляционного суда от 20.07.2021, в удовлетворении заявленного требования отказано. Постановлением Арбитражного суда Московского округа от 28.09.2021 указанные судебные акты оставлены без изменения. Предприятие в жалобе просит отменить обжалуемые судебные акты, считая их принятыми с существенным нарушением норм материального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заявленного требования, суды исходили из отсутствия сведений о наличии указанной задолженности в справке налогового органа о состоянии расчетов с бюджетом и КРСБ налогоплательщика.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 жалобе заявителем не приведено, в чем выразилось нарушение прав предприятия оспариваемыми судебными актами, доводы не подтверждают существенного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в связи с чем не являются достаточным основанием для пересмотра судебных актов в кассационном порядке. При этом, ссылаясь на правовую позицию Высшего Арбитражного Суда Российской Федерации, изложенную в постановлении Президиума от 05.11.2002 № 6294/01, о том, что лицевой счет плательщика, который ведет налоговая инспекция, является формой внутреннего контроля, сам заявитель указывает, что использование информации о налогах из КРСБ носит справочный характер и само по себе не несет юридических последствий для налогоплательщика. Исходя из вышеизложенного,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