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18.01.2021, оставленным без изменения постановлением Двенадцатого арбитражного апелляционного суда от 13.04.2021 и постановлением Арбитражного суда Поволжского округа от 13.08.2021, в удовлетворении заявленного требования отказано. Общество обратилось в Верховный Суд Российской Федерации с кассационной жалобой на указанные судебные акты, считая их незаконными и необоснованными.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оспоренным постановлением управления общество привлечено к административной ответственности за несоблюдение установленного порядка учета объема оборота алкогольной продукции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продукции (далее - ЕГАИС), что выразилось в отражении в ЕГАИС недостоверных сведений о датах розлива пива и пивных напитков. Статьей 14.19 КоАП РФ предусмотрена административная ответственность за нарушение установленного законодательством Российской Федерации о государственном регулировании производства и оборота этилового спирта, алкогольной и спиртосодержащей продукции порядка учета объема производства, оборота и (или) использования этилового спирта, алкогольной и спиртосодержащей продукции или порядка учета использования производственных мощностей, объема собранного винограда и использованного для производства винодельческой продукции винограда либо 3 нефиксация информации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спирта, алкогольной и спиртосодержащей продукции порядке. Исследовав и оценив представленные в материалы дела доказательства в их совокупности и взаимосвязи, руководствуясь положениями КоАП РФ,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Постановления Правительства Российской Федерации от 29.12.2015 № 1459 «О функционировании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продукции», Приказа Росалкогольрегулирования от 21.05.2014 № 149, суды пришли к выводу о наличии в действиях общества состава административного правонарушения, ответственность за совершение которого предусмотрена статьей 14.19 КоАП РФ. Установив, что процедура и срок давности привлечения к ответственности соблюдены, административное наказание назначено в виде штрафа в пределах санкции нормы, суды не усмотрели оснований для признания незаконным и отмены оспоренного постановления административного органа. Доводы общества относительно отсутствия состава правонарушения, наличия процессуальных нарушений при проведении проверки, а также необходимости применения положений статьи 1.7 КоАП РФ были предметом рассмотрения судов и получили исчерпывающую правовую оценку. Ссылка на судебную практику не может быть принята во внимание в связи с наличием иных обстоятельств рассматриваемого спора. 4 Изложенные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