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Верховным Судом Российской Федерации 22.09.2021 вынесено определение об отказе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При изготовлении текста названного судебного акта в резолютивной части была допущена опечатка в указании наименования заявителей кассационных жалоб. При указанных обстоятельствах, руководствуясь статьей 179 Арбитражного процессуального кодекса Российской Федерации, суд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в определении об отказе в передаче кассационных жалоб для рассмотрения в судебном заседании Судебной коллегии по экономическим спорам Верховного Суда Российской Федерации допущенную в резолютивной части опечатку. Читать резолютивную часть следующим образом: «отказать в передаче кассационных жалоб общества с ограниченной ответственностью «Декалитр» и акционерного общества «Сити Инвест Банк» для рассмотрения в судебном заседании Судебной коллегии по экономическим спорам Верховного Суда Российской Федерации.».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