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Девятого арбитражного апелляционного суда от 28.06.2021 и Арбитражного суда Московского округа от 30.09.2021, в удовлетворении заявления отказано. В кассационной жалобе, поданной в Верховный Суд Российской Федерации, ассоциация ставит вопрос об отмене принятых по делу судебных 2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заявлений ассоциации о нарушении обществом антимонопольного законодательства и о привлечении общества к административной ответственности по статье 9.21 Кодекса Российской Федерации об административных правонарушениях (далее - КоАП РФ) управлением принято решение об отказе в возбуждении дела о нарушении антимонопольного законодательства. Рассматривая жалобу ассоциации на решение управления, ФАС России 18.12.2020 в отношении доводов, касающихся оспаривания отказа управления в возбуждении в отношении общества дела о нарушении антимонопольного законодательства, сообщила об отсутствии полномочий по отмене (пересмотру) такого решения; в части доводов ассоциации о необоснованном отказе общества в предоставлении технических условий на присоединение объектов сети газораспределения указала на необходимость управлению принять решение по результатам рассмотрения заявлений ассоциации в порядке, предусмотренном КоАП РФ. Ассоциация, указывая на ненадлежащее рассмотрение ФАС России его обращения об оспаривании решения об отказе в возбуждении дела о нарушении антимонопольного законодательства, обратилась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части 4 статьи 23, части 1 статьи 52 Федерального закона от 26.07.2006 № 135-ФЗ «О защите конкуренции» (далее – Закон о защите конкуренции), Положением о Федеральной антимонопольной службе, утвержденным постановлением Правительства Российской Федерации от 30.06.2004 № 331, Положением о территориальном органе Федеральной антимонопольной службы, утвержденным приказом Федеральной антимонопольной службы от 23.07.2015 № 649/15, принимая во внимание правовую позицию, изложенную в пункте 49 постановления Пленума 3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пришли к выводу о законности оспариваемого решения ФАС России. Судебные инстанции исходили из отсутствия у ФАС России полномочий по пересмотру решения управления, поскольку согласно статье 52 Закона о защите конкуренции такое решение является предметом судебного обжалования. Доводы заявителя, изложенные в кассационной жалобе, основаны на неверном толковании норм материального права, повторяют позицию ассоциации по спору и не опровергают выводы судов, сделанные на основании правильного применения норм права к установленным обстоятельствам дела, не подтверждают существенных нарушений норм материального права и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по газификации «Газстройинвест»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