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Ивановской области от 09.02.2021, оставленным без изменения постановлением Второго арбитражного апелляционного суда от 05.05.2021, в удовлетворении заявленного требования отказано. Постановлением Арбитражного суда Волго-Вятского округа от 26.08.2021 названные судебные акты оставлены без изменения. 2 В кассационной жалобе, поступившей в Верховный Суд Российской Федерации, общество просит отменить указанные судебные акты, считая их принятыми с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доказательства, руководствуясь статьями 389, 391, 394 Налогового кодекса Российской Федерации, статьями 7, 42 Земельного кодекса Российской Федерации, статьей 1 Градостроительного кодекса Российской Федерации, пунктом 4 решения Ивановской городской Думы от 11.10.2005 № 600 «О земельном налоге», суды пришли к выводу о том, что с учетом вида разрешенного использования земельных участков обществом не представлено надлежащих доказательств в обоснование применения пониженной ставки земельного налога, самостоятельных земельных участков под объектами жилищно-коммунального хозяйства не сформировано. При этом доводы о том, что расположенные на спорных земельных участках объекты относятся к имуществу водоканала, сами по себе не подтверждает отнесение спорных объектов к объектам жилищно- коммунального хозяйства. 3 Приведенные в жалобе доводы были предметом рассмотрения судов и направлены на переоценку доказательств и установление иных фактических обстоятельств дела,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