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Москвы от 24.02.2021 в третью очередь реестра требований кредиторов должника (далее – реестр) включено требование фонда в размере 99 870 000 рублей. Постановлением Девятого арбитражного апелляционного суда от 11.06.2021, оставленным без изменения постановлением Арбитражного суда Московского округа от 16.09.2021, изменено определение суда первой инстанции от 24.02.2021, требования фонда в размере 99 870 000 рублей признаны подлежащими удовлетворению за счёт имущества должника, оставшегося после удовлетворения требований кредиторов, включённых в реестр. В кассационной жалобе, поданной в Верховный Суд Российской Федерации, заявитель просит отменить указанные судебные акты, включить требования фонда в третью очередь реестра.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апелляционной инстанции и округа, руководствуясь положениями статей 142 и 189.85 Федерального закона от 26.10.2002 № 127-ФЗ «О несостоятельности (банкротстве)», пунктом 27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обращения фонда с соответствующим заявлением после закрытия реестра и пропуска двухмесячного срока, исчисляемого со дня вступления в законную силу судебного акта, положенного в основу требований.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Ошибка суда первой инстанции в части даты начала исчисления срока, на которую помимо прочего ссылается заявитель, впоследствии была исправлена в обжалуемых судебных актах судов апелляционной инстанции и округа.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унитарной некоммерческой организации «Фонд развития бизнеса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