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«Гарант Капитал» (далее – общество) обратилось в суд с заявлением о включении в реестр требований кредиторов должника (далее – реестр) 5 672 000 рублей. Определением Арбитражного суда Ульяновской области от 16.02.2021, оставленным без изменения постановлениями Одиннадцатого арбитражного апелляционного суда от 01.06.2021 и Арбитражного суда Поволжского округа от 25.08.2021,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71, 100, 134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исходили из того, что требование общества подтверждено документально, заявлено в установленный законом срок и не исполнено должником, в связи с чем признали его обоснованным и включили в третью очередь реестра.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«Глобал Инвест» Гусеву Сергею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