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Рябов Дмитрий Анатольевич обратился в суд с заявлением о взыскании с банка как заявителя по делу о банкротстве должника фиксированного вознаграждения конкурсного управляющего в размере 714 000 рублей. Определением Арбитражного суда города Москвы от 01.02.2021, оставленным без изменения постановлениями Девятого арбитражного апелляционного суда от 29.04.2021 и Арбитражного суда Московского округа от 10.08.2021, заявление удовлетворено в полном объёме. В кассационной жалобе, поданной в Верховный Суд Российской Федерации, заявитель просит отменить судебные акты и принять по делу новый судебный акт об отказе в удовлетворении заявления полностью или частично.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20.7, 59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отсутствия оснований для снижения фиксированного вознаграждения арбитражного управляющего с банка как заявителя по делу о банкротстве, ввиду невозможности его взыскания за счёт должника, в связи с чем удовлетворили заявление в полном объёме.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Банка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