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об оплате ему вознаграждения временного управляющего за ведение процедуры наблюдения и расходов по делу о банкротстве должника в сумме 201 599 рублей. Определением Арбитражного суда Ростовской области от 14.04.2021, оставленным без изменения постановлениями Пятнадцатого арбитражного апелляционного суда от 31.05.2021 и Арбитражного суда Северо-Кавказского округа от 17.08.2021, 1, прекращено производство по заявлению.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заявлению, суд первой инстанции, руководствуясь положениями пункта 2 части 1 статьи 150 Арбитражного процессуального кодекса Российской Федерации, исходил из наличия вступившего в законную силу судебного акта арбитражного суда, принятого по тождественному спору. Суды апелляционной инстанции и округа поддержали выводы суда первой инстанции. Доводы заявителя, по своей сути, направлены на пересмотр итогов рассмотрения иных споров и не опровергают факт повторного обращения, ровно как и вышеизложенные выводы судов.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