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spacing w:after="80"/>
        <w:jc w:val="center"/>
      </w:pPr>
      <w:r>
        <w:rPr>
          <w:rFonts w:ascii="Times New Roman" w:hAnsi="Times New Roman" w:eastAsia="Times New Roman" w:cs="Times New Roman"/>
          <w:b/>
          <w:i w:val="0"/>
          <w:sz w:val="28"/>
        </w:rPr>
        <w:t>КОНСТИТУЦИОННЫЙ СУД РОССИЙСКОЙ ФЕДЕРАЦИИ</w:t>
      </w:r>
    </w:p>
    <w:p>
      <w:pPr>
        <w:pStyle w:val="Heading1"/>
        <w:jc w:val="center"/>
      </w:pPr>
      <w:r>
        <w:rPr>
          <w:rFonts w:ascii="Times New Roman" w:hAnsi="Times New Roman" w:eastAsia="Times New Roman" w:cs="Times New Roman"/>
          <w:b/>
          <w:i w:val="0"/>
          <w:sz w:val="28"/>
        </w:rPr>
        <w:t>determination</w:t>
      </w:r>
    </w:p>
    <w:p>
      <w:pPr>
        <w:spacing w:after="80"/>
        <w:jc w:val="center"/>
      </w:pPr>
      <w:r>
        <w:rPr>
          <w:rFonts w:ascii="Times New Roman" w:hAnsi="Times New Roman" w:eastAsia="Times New Roman" w:cs="Times New Roman"/>
          <w:b w:val="0"/>
          <w:i w:val="0"/>
          <w:sz w:val="22"/>
        </w:rPr>
        <w:t>город Санкт-Петербург</w:t>
      </w:r>
    </w:p>
    <w:p>
      <w:pPr>
        <w:spacing w:after="200"/>
        <w:jc w:val="center"/>
      </w:pPr>
      <w:r>
        <w:rPr>
          <w:rFonts w:ascii="Times New Roman" w:hAnsi="Times New Roman" w:eastAsia="Times New Roman" w:cs="Times New Roman"/>
          <w:b w:val="0"/>
          <w:i w:val="0"/>
          <w:sz w:val="22"/>
        </w:rPr>
        <w:t>13 декабря 2021 года</w:t>
      </w:r>
    </w:p>
    <w:p>
      <w:pPr>
        <w:spacing w:before="200" w:after="300"/>
        <w:pBdr>
          <w:bottom w:val="single" w:sz="6" w:space="1" w:color="000000"/>
        </w:pBdr>
      </w:pPr>
    </w:p>
    <w:p>
      <w:pPr>
        <w:pStyle w:val="Heading3"/>
      </w:pPr>
      <w:r>
        <w:rPr>
          <w:rFonts w:ascii="Times New Roman" w:hAnsi="Times New Roman" w:eastAsia="Times New Roman" w:cs="Times New Roman"/>
          <w:b/>
          <w:i w:val="0"/>
          <w:sz w:val="22"/>
        </w:rPr>
        <w:t>Пункт 1. Обстоятельства дела и позиция заявителя</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в рамках дела о банкротстве должника его конкурсный управляющий обратился в суд с заявлением о привлечении к субсидиарной ответственности по обязательствам должника Балунина Максима Викторовича, Сбитнева Степана Васильевича, Лутовинова Александра Ивановича, Хамхокова Бислана Мугдиновича, Водолеева Геннадия Сергеевича. Определением Арбитражного суда города Санкт-Петербурга и Ленинградской области от 03.03.2021, оставленным без изменения постановлениями Тринадцатого арбитражного апелляционного суда от 15.06.2021 и Арбитражного суда Северо-Западного округа от 20.09.2021, отказано в удовлетворении заявления. В кассационной жалобе, поданной в Верховный Суд Российской Федерации, заявитель просит отменить названные судебные акты, направить обособленный спор на новое рассмотрение в Арбитражный суд города Санкт-Петербурга и Ленинградской области. По смыслу части 1 статьи 291.1, части 7 статьи 291.6, статьи 291.11 Арбитражного процессуального кодекса Российской Федерации кассационная жалоба подлежит передаче для рассмотрения в судебном заседании Судебной 2 коллегии Верховного Суда Российской Федерации, если изложенные в ней доводы подтверждают наличие существенных нарушений норм материального права и (или) норм процессуального права, повлиявших на исход дела, без устранения которых невозможны восстановление и защита нарушенных прав и законных интересов заявителя в сфере предпринимательской и иной экономической деятельности. Между тем по результатам изучения состоявшихся по делу судебных актов и доводов кассационной жалобы таких оснований не установлено. Разрешая спор, суды, руководствуясь положениями статей 9 и 10 Федерального закона от 26.10.2002 № 127-ФЗ «О несостоятельности (банкротстве)» (в актуальной редакции), исходили из недоказанности причин для удовлетворения требований конкурного управляющего должником по заявленным основаниям. Выводы судов соответствуют нормам права, оснований для переоценки этих выводов не имеется. Доводы заявителя, по своей сути, не опровергают вышеуказанные выводы судов. Основания для передачи кассационной жалобы на рассмотрение в судебном заседании Судебной коллегии Верховного Суда Российской Федерации отсутствуют. На основании изложенного и руководствуясь статьями 291.6, 291.8 Арбитражного процессуального кодекса Российской Федерации,</w:t>
      </w:r>
    </w:p>
    <w:p>
      <w:pPr>
        <w:spacing w:before="200" w:after="300"/>
        <w:pBdr>
          <w:bottom w:val="single" w:sz="6" w:space="1" w:color="000000"/>
        </w:pBdr>
      </w:pPr>
    </w:p>
    <w:p>
      <w:pPr>
        <w:pStyle w:val="Heading1"/>
        <w:jc w:val="center"/>
      </w:pPr>
      <w:r>
        <w:rPr>
          <w:rFonts w:ascii="Times New Roman" w:hAnsi="Times New Roman" w:eastAsia="Times New Roman" w:cs="Times New Roman"/>
          <w:b/>
          <w:i w:val="0"/>
          <w:sz w:val="28"/>
        </w:rPr>
        <w:t>ОПРЕДЕЛИЛ:</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отказать конкурному управляющему обществом с ограниченной ответственностью «Межбанковская коллекторская служба» Запаренко Сергею Васильевичу в передаче его кассационной жалобы для рассмотрения в судебном заседании Судебной коллегии по экономическим спорам Верховного Суда Российской Федерации. Судья Верховного Суда Российской Федерации Е.С. Корнелюк</w:t>
      </w:r>
    </w:p>
    <w:p>
      <w:pPr>
        <w:spacing w:before="200" w:after="300"/>
        <w:pBdr>
          <w:bottom w:val="single" w:sz="6" w:space="1" w:color="000000"/>
        </w:pBdr>
      </w:pPr>
    </w:p>
    <w:p>
      <w:pPr>
        <w:spacing w:before="200"/>
      </w:pPr>
      <w:r>
        <w:rPr>
          <w:rFonts w:ascii="Times New Roman" w:hAnsi="Times New Roman" w:eastAsia="Times New Roman" w:cs="Times New Roman"/>
          <w:b/>
          <w:i w:val="0"/>
          <w:sz w:val="20"/>
        </w:rPr>
        <w:t xml:space="preserve">Источник: </w:t>
      </w:r>
      <w:r>
        <w:rPr>
          <w:rFonts w:ascii="Times New Roman" w:hAnsi="Times New Roman" w:eastAsia="Times New Roman" w:cs="Times New Roman"/>
          <w:b w:val="0"/>
          <w:i/>
          <w:sz w:val="20"/>
        </w:rPr>
        <w:t>ksrf.ru</w:t>
      </w:r>
    </w:p>
    <w:sectPr w:rsidR="00FC693F" w:rsidRPr="0006063C" w:rsidSect="00034616">
      <w:pgSz w:w="11906" w:h="16838"/>
      <w:pgMar w:top="1134" w:right="850" w:bottom="1134" w:left="1701"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Times New Roman" w:hAnsi="Times New Roman" w:eastAsia="Times New Roman" w:cs="Times New Roman"/>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