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Севастополя от 30.03.2021, оставленным без изменения постановлением Двадцать первого арбитражного апелляционного суда от 11.05.2021, заявленные требования удовлетворены. 2 Постановлением Арбитражного суда Центрального округа от 08.09.2021 указанные судебные акты отменены, дело направлено на новое рассмотрение в арбитражный суд первой инстанции. Учреждение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Изучив изложенные в кассационной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 округа отменил решение суда первой инстанции и постановление апелляционного суда, направил дело на новое рассмотрение, действуя в пределах полномочий, предоставленных ему статьей 287 Арбитражного процессуального кодекса Российской Федерации, по основаниям, предусмотренным статьей 288 названного Кодекса. При этом суд округа указал на неполное исследование судами всех значимых для дела обстоятельств, входящих в предмет доказывания, в том числе, определения статуса учреждения в целях признания его субъектом ответственности.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3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 представлять доказательства, а также отстаивать свою позицию доступными процессуальными способами при новом рассмотрении дела,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Учитывая изложенное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