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16.12.2020, оставленным без изменения постановлением Девятого арбитражного апелляционного суда от 26.03.2021, заявленные требования удовлетворены. Постановлением Арбитражного суда Московского округа от 07.09.2021 указанные судебные акты отменены, дело направлено на новое рассмотрение в арбитражный суд первой инстанции. 2 Общество обратилось в Верховный Суд Российской Федерации с кассационной жалобой, в которой просит постановление суда округа отменить, считая его принятым с нарушением норм материального и процессуального права. Изучив изложенные в кассационной жалобе доводы и принятые по делу судебные акты,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 Суд округа отменил решение суда первой инстанции и постановление апелляционного суда, направил дело на новое рассмотрение, действуя в пределах полномочий, предоставленных ему статьей 287 Арбитражного процессуального кодекса Российской Федерации, по основаниям, предусмотренным статьей 288 названного Кодекса. При этом суд округа указал на неполное исследование судами всех значимых для дела обстоятельств, входящих в предмет доказывания, в том числе, относительно нарушения требований и ограничений по использованию земельного участка, связанных со строительством, с реконструкцией на нем здания.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Поскольку заявитель в силу части 1 статьи 41 Арбитражного процессуального кодекса Российской Федерации не лишен возможности 3 приводить свои доводы по всем возникающим в ходе рассмотрения дела вопросам, представлять доказательства, а также отстаивать свою позицию доступными процессуальными способами при новом рассмотрении дела, основания для передачи жалобы для рассмотрения в судебном заседании Судебной коллегии по экономическим спорам Верховного Суда Российской Федерации обжалуемого судебного акта в порядке кассационного производства отсутствуют. При указанных обстоятельствах доводы жалобы не являются достаточными в целях передачи жалоб для рассмотрения в судебном заседании Судебной коллегии по экономическим спорам Верховного Суда Российской Федерации. Учитывая изложенное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