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22.01.2021 заявленные требования удовлетворены. Постановлением Тринадцатого арбитражного апелляционного суда от 24.06.2021, оставленным без изменения постановлением Арбитражного суда Северо-Западного округа от 13.09.2021, решение суда первой инстанции изменено, а именно признаны безнадежными к взысканию 1 142 953, 42 рублей задолженности по страховым взносам на обязательное пенсионное страхование, начисленным за периоды до 01.01.2017, 432 636, 06 рублей пеней по указанным страховым взносам, 198 157, 60 рублей штрафа по НДФЛ, 93 336, 61 рублей пеней по страховым взносам на обязательное медицинское страхование, начисленным за периоды до 01.01.2017, инспекция признана утратившей право на взыскание указанных сумм с обязанием исключить соответствующие записи из лицевого счета общества. В удовлетворении остальной части заявленных требований отказано. В кассационной жалобе заявитель ставит вопрос об отмене принятых по делу судебных актов в части отказа в удовлетворении его требований в связи с существенным нарушением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кассационных 3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 обоснование заявленных требований обществом (признанным несостоятельным (банкротом) указано на утрату права налогового органа для взыскания недоимки по вышеуказанным налогам и взносам, пеням и штрафам. Исследовав и оценив обстоятельства и имеющиеся в материалах дела доказательства, руководствуясь положениями Налогового кодекса Российской Федерации (далее – Налоговый кодекс), Федерального закона от 26.10.2002 № 127-ФЗ «О несостоятельности (банкротстве)»,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учитывая разъяснения, изложенные в пункте 19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апелляционный суд, отказывая в обозначенной части требований, установил совокупность фактических обстоятельств и пришел к выводу о том, что налоговым органом соблюдены требования статей 46, 70 Налогового кодекса применительно к процедуре принудительного взыскания с общества части спорных сумм налога, пеней, штрафа. Судом округа данные выводы поддержаны. 4 Доводы, изложенные в кассационной жалобе, повторяют доводы, рассмотренные судами нижестоящих инстанций, не подтверждают наличие существенных нарушений норм материального права и (или) норм процессуального права, повлиявших на исход дела, фактически связаны с оценкой доказательств по делу, установленных судами и положенных в основу обжалуемых судебных актов, и не могут быть признаны основанием для их отмены в кассационном порядке. Учитывая изложенное и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«Светлана-Оптоэлектроника»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М.К. Антонова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