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Михалевич Инна Анатольевна обратилась в суд с заявлением о взыскании с бывшего конкурсного управляющего Григорьева Николая Леонидовича и бывшего руководителя Зекина Сергея Евгеньевича в солидарном порядке убытков в размере 1 823 267 рублей 21 копейки. Определением Арбитражного суда Чувашской Республики – Чувашии от 01.12.2020, оставленным без изменения постановлениями Первого арбитражного апелляционного суда от 28.04.2021 и Арбитражного суда Волго-Вятского округа от 09.08.2021, отказано в удовлетворении требований. В кассационной жалобе, поданной в Верховный Суд Российской Федерации, заявитель, согласный с выводами судов относительно отсутствия оснований для применения срока исковой давности, просит частично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 и 53.1 Гражданского кодекса Российской Федерации, статей 20.3 и 20.4 Федерального закона от 26.10.2002 № 127-ФЗ «О несостоятельности (банкротстве)», исходили из отсутствия оснований для удовлетворения требований по заявленным основаниям, указав на недоказанность причинно-следственной связи между спорными действиями (бездействием) ответчиков и убытками на стороне должника или его кредиторов.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«Ровена»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