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29.01.2021, оставленным без изменения постановлениями Тринадцатого арбитражного апелляционного суда от 13.04.2021 и Арбитражного суда Северо-Западного округа от 19.08.2021, признано недействительным решение налогового органа в части привлечения налогоплательщика к ответственности, предусмотренной пунктом 1 статьи 122 Налогового кодекса Российской Федерации (далее – Налоговый кодекс), в виде взыскания 234 830 рублей штрафа. В удовлетворении остальной части заявленных требований отказано. 2 В кассационной жалобе заявитель ставит вопрос об отмене принятых по делу судебных актов в части отказа в удовлетворении требований, в связи с существенным нарушением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кассационных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инспекцией проведена выездная налоговая проверка за период с 01.01.2014 по 31.12.2016, по результатам оспариваемым решением общество привлечено к налоговой ответственности за совершение налогового правонарушения. Инспекцией выявлено, что при исчислении налога на прибыль общество (резидент Особой экономической зоны в Калининградской области) включило в состав внереализационных доходов (расходов) по иной (кроме основной деятельности по реализации инвестиционного проекта) хозяйственной деятельности суммы курсовых разниц, возникших в связи с приобретением иностранной валюты для выплаты дивидендов. Выводы инспекции подтверждены вышестоящим налоговым органом. Несогласие с позицией налогового органа послужило основанием для обращения общества в суд с заявленным требованием. Исследовав и оценив имеющиеся в материалах дела доказательства, руководствуясь положениями Налогового кодекса Российской Федерации, Федерального закона от 10.12.2003 № 173-ФЗ «О валютном регулировании и валютном контроле», Федерального закона от 10.01.2006 № 16-ФЗ «Об Особой экономической зоне в Калининградской области и о внесении изменений в некоторые законодательные акты Российской Федерации», суды, отказывая в удовлетворении требования в указанной части, согласились с выводом налогового органа о том, что суммы курсовой разницы с учетом принятой обществом учетной политики, подлежат распределению 3 пропорционально доле соответствующего дохода в суммарном объеме всех доходов. Формулируя данный вывод, суды исходили из того, что завышение налогоплательщиком убытка по налогу на прибыль за 2014 год и занижение налогооблагаемой базы по этому налогу за 2015 – 2016 годы произошло ввиду необоснованного отнесения обществом курсовой разницы, возникшей в связи с покупкой иностранной валюты для выплаты дивидендов участнику - нерезиденту, на иную деятельность, не связанную с реализацией инвестиционного проекта. Поскольку спорные расходы (доходы) не могут быть отнесены к конкретному виду деятельности, они должны распределяться пропорционально доле соответствующего дохода в суммарном объеме всех доходов. Судами также принято во внимание, что в рассматриваемом случае именно результат инвестиционной деятельности позволил обществу получить прибыль и выплатить дивиденды. Доводы, изложенные в кассационной жалобе, повторяют доводы, рассмотренные судами нижестоящих инстанций, не подтверждают наличие существенных нарушений норм материального права и (или) норм процессуального права, повлиявших на исход дела, фактически связаны с оценкой доказательств по делу, установленных судами и положенных в основу обжалуемых судебных актов, и не могут быть признаны основанием для их отмены в кассационном порядке. Учитывая изложенное и руководствуясь статьями 291.1,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«Проммеханика»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