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02.11.2020, оставленным без изменения постановлением Десятого арбитражного апелляционного суда от 12.04.2021 и постановлением Арбитражного суда Московского округа от 12.08.2021, исковое заявление удовлетворено. В кассационной жалобе, поданной в Верховный Суд Российской Федерации, министерство,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министерством (заказчик) и АО «Мострансавто» (подрядчик) 26.12.2018 заключены государственные контракты № 0148200005418000533 и № 0148200005418000531 на выполнение работ по перевозке пассажиров в Московской области по маршрутам регулярных перевозок по регулируемым тарифам, на которых отдельным категориям граждан предоставляются меры социальной поддержки. Согласно пункту 2.8 контрактов установлено, что в случае неисполнения или ненадлежащего исполнения подрядчиком обязательств, предусмотренных контрактом, заказчик производит оплату выполненных работ по этапу за вычетом соответствующего размера неустойки (штрафа, пеней). При этом пунктом 7.3.5 контрактов установлено, что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в виде фиксированной суммы 100 000 рублей. В ходе исполнения обязательств министерством с общества удержаны штрафные санкции на сумму 3 300 000 рублей. Несогласие с действиями министерства послужило основанием для обращения АО «Мострансавто» в арбитражный суд с иском о взыскании неосновательного обогащения. Рассматривая спор, суд первой инстанции, исследовав и оценив представленные в материалы дела доказательства,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пришел к выводу о наличии оснований для удовлетворения искового требования, с чем согласились суды апелляционной инстанции и округа. Судебные инстанции исходили из необоснованности начисленных министерством штрафных санкций, отсутствии доказательств, подтверждающих направление требований об уплате неустоек (штрафов, пени), 3 сообщений о недостатках или иных нарушениях, обнаруженных в ходе оказания работ. Суды также отметили, что в качестве нарушения подрядчиком обязательств, предусмотренных государственными контрактами, министерство ссылалось на нарушение обществом расписания при перевозке пассажиров, осуществление проезда без остановок на остановочных пунктах. Вместе с тем, доказательств вменяемых нарушений министерством не представлено.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транспорта и дорожной инфраструктуры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