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16.02.2021, оставленным без изменения постановлением Девятого арбитражного апелляционного суда от 24.05.2021 и постановлением Арбитражного суда Московского округа от 10.08.2021, заявление финансового управляющего удовлетворено. В кассационной жалобе Родченко Г.Б. просит о пересмотре судебных актов, ссылаясь на нарушение преюдиции и обязательности для рассматриваемого спора установленных судом общей юрисдикции по делу о взыскании о займов действительности договоров, реальности передачи денежных средств и возможности предоставления их кредитором.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Проверка в рамках дела № 2-2639/2015 по иску Родченко Г.Б. к Каретко С.И. юридической силы оспариваемых финансовым управляющим договоров, финансовой состоятельности кредитора для предоставления займов опровергается решением суда от 30.11.2015 по этому делу. Учитывая пределы рассмотрения судом общей юрисдикции названного дела, суды в пределах рассматриваемого спора на основании исследованных доказательств и приговора суда в отношении должника установили неполучение им займов и отсутствие у кредитора финансовой возможности их предоставления, составляющие условия для признания мнимости займов в силу статьи 170 Гражданского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Родченко Галине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